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結論：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「一切賢聖皆以無為法而有差別」，此處的差別，是指所有（由無為法而彰顯的）聖者與凡夫之差別，並非「聖者之間程度之差別」（此說法始於僧肇，被後世沿用）。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各家譯文：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鳩摩羅什（344～413或350～409） ←所以者何？一切賢聖皆以無為法而有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差別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菩提流支（508至洛陽）←何以故？一切聖人，皆以無為法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得名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。」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真諦 （499～569）←何以故？一切聖人，皆以無為真如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所顯現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故。」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笈多 （？～619）←彼何因？無為法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顯明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聖人。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玄奘（602～664） ←何以故？以諸賢聖補特伽羅皆是無為之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所顯故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義淨（635～713） ←何以故？以諸聖者皆是無為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所顯現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故。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梵文：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tatkasya hetoḥ ？asaṃskṛta-prabhāvitā hy āryapudgalāḥ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1、tat(tad):代詞、中性、單數、體格。彼,that.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2、kasya(kim):疑問代詞、中性、單數、屬格何、什麼，why.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3、hetoḥ (hetu):名詞、陽性、單數、從格。因，. so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4、asaṃskṛta-prabhāvitā:過去主動分詞致使式、陽性、複數、體格。無為所顯， exalts   巴利 pātubhavati (to appear , sprint into existence, manifestation )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5、hy(hi):小品詞、表強調。誠然，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 āryapudgalāḥ(arya-pudgala):名詞、陽性、複數、體格。聖補特伽羅、聖者， the Saint  persons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此中"asaṃskṛta-prabhāvitā (無為所顯)"，過去分詞，即"諸聖補特伽羅 (āryapudgalāḥ )”皆是"無為法所顯者”</w:t>
        <w:tab/>
        <w:t xml:space="preserve">"prabhāvitā”，詞根為"Bhū", 存在、有之意。奘師、淨師譯為“顯現”，多師譯為“顯明”，什師譯為“差別”， 藏譯亦是"所差別" °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多師此句可調為：“彼何因？聖人［皆］無為法［所］顯明。”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古註：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【僧肇 384-414 金剛經註】 X24n0454 理無生滅。謂之無為。無為之理。眾聖同解。解會無為。結盡道成。所謂一解脫義。同入法性者也。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然無為雖一。解有明昧。明深昧淺。優劣差者也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吉藏549-623《金剛般若疏》卷3：「問：何故言一切賢聖無為而有差別？答：復為釋疑。既言同悟無為，則眾聖無異，便無十地階級、四果淺深。是故今明雖同悟無為，所悟不同，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故有三聖為異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。三鳥出網、三獸度河，而昇空有近遠、涉水有淺深，即是其事。」(CBETA 2023.Q4, T33, no. 1699, p. 107c21-26)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《金剛經彙纂》卷1：「盛釋。此菩提法之所以不可取說者何故。凡一切賢聖。皆得人法兩空之理。俱是無為。但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三乘差別。修證不同耳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。」(CBETA 2023.Q4, X25, no. 504, p. 769c11-14 // R40, p. 277b11-14 // Z 1:40, p. 139b11-14)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【窺基 632-682 金剛般若經贊述】「述曰，此又釋前也。謂諸聖者皆以無分別智契證真理，方能斷惑，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而立差別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」(CBETA 2023.Q4, T33, no. 1700, p. 135c22-26)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【宗密780-841 金剛般若經疏論纂要】《金剛般若經疏論纂要》卷1：「魏云「一切聖人皆以無為法得名。」論意云：聖人但依真如清淨得名，非別得法，故無取。說而有差別者，論云「真如具足清淨分清淨。」無著云：「無為者，無分別義故，是故菩薩有學得名，如來無學得名。初無為者，折伏散亂時顯了故；後無為者，唯第一義者無上覺故。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三乘賢聖皆修證無為，故通說為差別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。」」(CBETA 2023.Q4, T33, no. 1701, p. 160b2-8)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澄觀(737-838)《大方廣佛華嚴經隨疏演義鈔》卷39〈16 梵行品〉：「釋曰：今但用後釋文。前之一段亦可證前觀法，故具引之，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謂一切聖人由證無為有淺深故而有差別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，別同無為即無差矣。無為之中何有八輩凡聖相耶？故皆契性空矣。」(CBETA 2023.Q4, T36, no. 1736, p. 301a28-b3)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　【疏鈔曰】未了人空法空。皆名執著。了此二法。即曰無為。菩薩能齊證二空。聲聞方離人空。未達法空。故云離一非。以證前之義。故云而有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差別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　【六祖638-713 口訣講記云】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三乘根性。所解不同。見有淺深。故言差別。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佛說無為說者。即是無住。無住即無相。無相即無起。無起即無滅。蕩然空寂。照用齊施。鑒覺無礙。乃真是解脫佛性。佛即是覺。覺即是觀照。觀照即是智慧。智慧即是般若也。https://cbetaonline.dila.edu.tw/zh/X0459_001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　【王日休曰】(1105-1173) 其言聖賢。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以無為法而有差別者何哉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。蓋謂于無為法得之淺者。則為賢人。若須沱洹之類是也。得之深者。則謂聖人。若佛與菩薩是也。此所以為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差別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歟。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【顏丙(南宋楊岐派）曰】略…故一切賢聖。皆用此無為之法。然法本無為。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悟有淺深。遂生差別。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見到頭則一也。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　【李文會1100-1165曰】無為法性。本無淺深定相可取。若有定相。應無差別。有差別者。謂根有利鈍。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學有淺深。故曰差別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。既有差別。即無定相也。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【江味農1872-1938 金剛經講義】故一切法清淨本然，絕非造作，故曰無為。一切賢聖莫不修此證此，但因功行之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淺深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，故有成賢成聖之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差別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故前云：一切賢聖皆以無為法而有差別，正明其同為無實無虛，（無實無虛，即不生不滅，下當說之。）但有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半滿之不同耳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。（半者，不圓滿也。小乘半，菩薩滿。菩薩半，佛滿也。）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William Gemmell(1909-1980): And why? Because that thing which was known or taught by the Tathâgata is incomprehensible and inexpressible. It is neither a thing nor no-thing. And why? Because the holy persons are of</w:t>
      </w:r>
      <w:r w:rsidDel="00000000" w:rsidR="00000000" w:rsidRPr="00000000">
        <w:rPr>
          <w:u w:val="single"/>
          <w:rtl w:val="0"/>
        </w:rPr>
        <w:t xml:space="preserve"> imperfect power</w:t>
      </w:r>
      <w:r w:rsidDel="00000000" w:rsidR="00000000" w:rsidRPr="00000000">
        <w:rPr>
          <w:rtl w:val="0"/>
        </w:rPr>
        <w:t xml:space="preserve">.'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Chung Tai 中台 Translation Committee (Jan 2009) How is this so? It is because all the saints and sages</w:t>
      </w:r>
      <w:r w:rsidDel="00000000" w:rsidR="00000000" w:rsidRPr="00000000">
        <w:rPr>
          <w:u w:val="single"/>
          <w:rtl w:val="0"/>
        </w:rPr>
        <w:t xml:space="preserve"> are distinguished by the Unconditioned Dharma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.” 應是從玄奘譯文而得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Edward Conze(1904-1979) The Diamond Sutra pg 39: the word prabhāvitā contains a great wealth of meanings, and 'exalts' is the best I can do. One could also say, 'are glorified by','draw their strength from ', 'owe their distinction to', or 'derive their dignity from'.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prabhāvitā  有好幾個意思，exalts(彰顯) 是我能做的最好英譯。它也有「被榮耀」，「從中得到力量」「優異」「從中得到尊貴」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idea is that the holy persons have 'arisen' from the Unconditioned, have been 'produced' from it, are 'brought forth' by it.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意思是 聖者從無為法而產生。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is as a result of their contact with the Unconditioned that they become mighty and powerful, that they 'thrive'.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他們偉大和力量來源自於觸及無為法。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is by means of the Unconditioned that they 'prevail' and 'excel'. And finally, they are 'recognized', 'characterized', or 'defined' by it, in a sense they are 'revealed' by it.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由於無為法，聖者優於於凡人，最終，聖者由「無法為」而被識別、賦質和被定義，這也意味著聖者由「無為法」而被揭示。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【印順 1906 2005 金剛經講記】：  大聖佛陀， 二乘聖者，大乘菩薩，或還在修證的進程中，或已達究竟極果，這都因體悟無 為法而成。無為，即離一切戲論而都無所取的平等空性。無為離一切言說，平 等一味，怎麼會有聖賢的差別？這如廣大的虛空──空間，雖可依事物而說身 內的空，屋中的空，方空、圓空，但虛空性那裡有此彼差別！虛空雖沒差別， [P56] 而方圓等空，還是要因虛空而後可說。這樣，無為法離一切戲論，在證覺中都 無可取可說，而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三乘聖者的差別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，卻依無為法而施設。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成觀法師(1947)： Wherefore is it so? For all the sages and saints could be</w:t>
      </w:r>
      <w:r w:rsidDel="00000000" w:rsidR="00000000" w:rsidRPr="00000000">
        <w:rPr>
          <w:u w:val="single"/>
          <w:rtl w:val="0"/>
        </w:rPr>
        <w:t xml:space="preserve"> hierarchized on the basis of the Un-implemental Dharma</w:t>
      </w:r>
      <w:r w:rsidDel="00000000" w:rsidR="00000000" w:rsidRPr="00000000">
        <w:rPr>
          <w:rtl w:val="0"/>
        </w:rPr>
        <w:t xml:space="preserve">s.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Charles Mullar (26 Oct  2013) How can this be? All the enlightened sages are distinguished [from worldly teachers]by unconditioned phenomena.`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所有聖者 因無為法而 [與凡夫老師]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有差別。</w:t>
      </w:r>
    </w:p>
    <w:p w:rsidR="00000000" w:rsidDel="00000000" w:rsidP="00000000" w:rsidRDefault="00000000" w:rsidRPr="00000000" w14:paraId="0000003B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http://www.acmuller.net/bud-canon/diamond_sutra.html#div-8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【星雲1927-2023 金剛經講話】 「這是什麼緣故呢？因為沒有一定的法名為菩提，一切賢聖，也都是依寂滅的無為法而修，因證悟的深淺不同，才產生有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三賢十聖等階位的差別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三民書局 古文今注新譯叢書：新譯金剛經(二版2007）徐興無 41-45頁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這是為什麼呢？因為一切賢者和聖者，都依照他們對無為法這一脱離因緣造作、無生滅、無作為的平等法性的體證程度，而顯現出不同的境界。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https://www.chibs.edu.tw/ch_html/chbj/14/chbj1407.htm</w:t>
        </w:r>
      </w:hyperlink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《金剛經》的詮釋與流傳 楊惠南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參考注釋：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 晉‧僧肇（384～411），《金剛經註》；《卍續藏》冊38。[9]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 梁‧傅翕（497～569），《梁朝傅大士頌金剛經》（一卷）；《大正藏》冊85。[10]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3. 隋‧智顗（538～597），《金剛般若經疏》（一卷）；《大正藏》冊33。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4. 隋‧吉藏（549～623），《金剛般若疏》（四卷）；《大正藏》冊33。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5. 唐‧慧淨（578～?），《金剛經註疏》（三卷）；《卍續藏》冊38。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6. 唐‧智儼（602～668），《金剛般若波羅蜜經略疏》（二卷）；《大正藏》冊33。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7. 唐‧窺基（632～682），《金剛般若經贊述》（二卷）；[11]　《大正藏》冊33。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8. 唐‧知恩，《金剛般若經依天親菩薩論贊略釋秦本義記卷上》（一卷）；《大正藏》冊85。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(1)唐‧慧能（638～713），《金剛經解義》（二卷）；《卍續藏》冊38。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(2)唐‧慧能，《金剛經口訣》（一卷）；《卍續藏》冊92。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(3)唐‧道氤(668～740)，《御注金剛般若波羅蜜經宣演》(二卷)；《卍續藏》冊85。[39]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(4)唐‧寶達，《金剛暎卷上》（一卷）；《卍續藏》冊85。[40]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(5)唐‧孟獻忠(約680～760)），《金剛般若經集驗記》（三卷）；《卍續藏》冊149。[41]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(6)唐‧曇曠（約700～800），《金剛般若經旨贊》（二卷）；《大正藏》冊85。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(7)唐‧宗密（780～841）述，宋‧子璿（965～1038）治定，《金剛般若經疏纂要》（二卷）；《大正藏》冊33。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(8)唐‧段成式（約800～880），《金剛經鳩異》（一卷）；《卍續藏》冊149。[42]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(9)宋‧宗鏡述，明‧覺連重集，《銷釋金剛經科儀會要註解》（九卷）；《卍續藏》冊92。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(10)宋‧李昉（930～1110），《金剛經受持感應錄》（二卷）；《卍續藏》冊149。[43]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(11)宋‧子璿（965～1038），《金剛經纂要刊定記》（七卷）；《大正藏》冊33。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(12)宋‧曇應（1090～1170），《金剛般若波羅蜜經采微科》（一卷）；《卍續藏》冊92。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(13)宋‧曇應，《金剛般若波羅蜜經采微》（二卷）；《卍續藏》冊92。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(14)宋‧曇應，《金剛般若波羅蜜經采微餘釋》（一卷）；《卍續藏》冊92。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(15)宋‧道川（約1100～1180），《金剛經註》（三卷）；《卍續藏》冊38。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(16)宋‧善月（1149～1241），《金剛經會解》（二卷）；《卍續藏》冊38。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(17)元‧徐行善（約1240～1320），《金剛經科釋》（一卷）；《卍續藏》冊38。[44]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(18)明‧宗泐（1318～1391）、如玘（1320～1385），《金剛般若波羅蜜經註解》（一卷）；《大正藏》卷33。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(19)明‧洪蓮（約1390～1470），《金剛經註解》（四卷）；《卍續藏》冊38。[45]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(20)明‧曾鳳儀，《金剛經宗通》（七卷）；《卍續藏》冊39。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(21)明‧曾鳳儀，《金剛經偈釋》（二卷）；《卍續藏》冊39。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cmuller.net/bud-canon/diamond_sutra.html#div-8" TargetMode="External"/><Relationship Id="rId7" Type="http://schemas.openxmlformats.org/officeDocument/2006/relationships/hyperlink" Target="https://www.chibs.edu.tw/ch_html/chbj/14/chbj140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